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2C" w:rsidRDefault="00AE752C" w:rsidP="00AE75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tbl>
      <w:tblPr>
        <w:tblW w:w="10457" w:type="dxa"/>
        <w:tblInd w:w="100" w:type="dxa"/>
        <w:tblLook w:val="01E0"/>
      </w:tblPr>
      <w:tblGrid>
        <w:gridCol w:w="10235"/>
        <w:gridCol w:w="222"/>
      </w:tblGrid>
      <w:tr w:rsidR="00AE752C" w:rsidRPr="008F2257" w:rsidTr="006C7654">
        <w:trPr>
          <w:trHeight w:val="245"/>
        </w:trPr>
        <w:tc>
          <w:tcPr>
            <w:tcW w:w="10235" w:type="dxa"/>
            <w:vAlign w:val="center"/>
            <w:hideMark/>
          </w:tcPr>
          <w:tbl>
            <w:tblPr>
              <w:tblW w:w="9485" w:type="dxa"/>
              <w:tblLook w:val="01E0"/>
            </w:tblPr>
            <w:tblGrid>
              <w:gridCol w:w="2046"/>
              <w:gridCol w:w="7439"/>
            </w:tblGrid>
            <w:tr w:rsidR="00AE752C" w:rsidRPr="008F2257" w:rsidTr="006C7654">
              <w:trPr>
                <w:trHeight w:val="1631"/>
              </w:trPr>
              <w:tc>
                <w:tcPr>
                  <w:tcW w:w="2046" w:type="dxa"/>
                  <w:vAlign w:val="center"/>
                  <w:hideMark/>
                </w:tcPr>
                <w:p w:rsidR="00AE752C" w:rsidRPr="002D6700" w:rsidRDefault="00AE752C" w:rsidP="006C7654">
                  <w:pPr>
                    <w:pStyle w:val="aa"/>
                    <w:jc w:val="center"/>
                    <w:rPr>
                      <w:rFonts w:ascii="Arial Narrow" w:hAnsi="Arial Narrow" w:cs="Arial"/>
                      <w:sz w:val="18"/>
                      <w:szCs w:val="18"/>
                      <w:lang w:val="en-AU" w:eastAsia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143000" cy="1009650"/>
                        <wp:effectExtent l="19050" t="0" r="0" b="0"/>
                        <wp:docPr id="2" name="Рисунок 1" descr="логотип-1(blu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логотип-1(blu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39" w:type="dxa"/>
                  <w:vAlign w:val="center"/>
                  <w:hideMark/>
                </w:tcPr>
                <w:p w:rsidR="00AE752C" w:rsidRPr="002D6700" w:rsidRDefault="00AE752C" w:rsidP="006C7654">
                  <w:pPr>
                    <w:pStyle w:val="a8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2D6700">
                    <w:rPr>
                      <w:rFonts w:ascii="Arial Narrow" w:hAnsi="Arial Narrow" w:cs="Arial"/>
                      <w:sz w:val="18"/>
                      <w:szCs w:val="18"/>
                    </w:rPr>
                    <w:t>ООО «Группа Компаний «Агентство социально-экономического развития»</w:t>
                  </w:r>
                </w:p>
                <w:p w:rsidR="00AE752C" w:rsidRPr="002D6700" w:rsidRDefault="00AE752C" w:rsidP="006C7654">
                  <w:pPr>
                    <w:pStyle w:val="a8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proofErr w:type="gramStart"/>
                  <w:r w:rsidRPr="002D6700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Адрес местонахождения: 127137, г. Москва, ул. Правды, д. 24, стр.4 </w:t>
                  </w:r>
                  <w:proofErr w:type="gramEnd"/>
                </w:p>
                <w:p w:rsidR="00AE752C" w:rsidRPr="002D6700" w:rsidRDefault="00AE752C" w:rsidP="006C7654">
                  <w:pPr>
                    <w:pStyle w:val="a8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2D6700">
                    <w:rPr>
                      <w:rFonts w:ascii="Arial Narrow" w:hAnsi="Arial Narrow" w:cs="Arial"/>
                      <w:sz w:val="18"/>
                      <w:szCs w:val="18"/>
                    </w:rPr>
                    <w:t>Для корреспонденции: 127137,г. Москва, а/я 46</w:t>
                  </w:r>
                </w:p>
                <w:p w:rsidR="00AE752C" w:rsidRPr="002D6700" w:rsidRDefault="00AE752C" w:rsidP="006C7654">
                  <w:pPr>
                    <w:pStyle w:val="a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2D6700">
                    <w:rPr>
                      <w:rFonts w:ascii="Arial Narrow" w:hAnsi="Arial Narrow"/>
                      <w:sz w:val="18"/>
                      <w:szCs w:val="18"/>
                    </w:rPr>
                    <w:t>ИНН 7707698826, КПП 771401001</w:t>
                  </w:r>
                </w:p>
                <w:p w:rsidR="00AE752C" w:rsidRPr="002D6700" w:rsidRDefault="00AE752C" w:rsidP="006C7654">
                  <w:pPr>
                    <w:pStyle w:val="a8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2D6700">
                    <w:rPr>
                      <w:rFonts w:ascii="Arial Narrow" w:hAnsi="Arial Narrow"/>
                      <w:sz w:val="18"/>
                      <w:szCs w:val="18"/>
                    </w:rPr>
                    <w:t>ОГРН 1097746103443</w:t>
                  </w:r>
                </w:p>
                <w:p w:rsidR="00AE752C" w:rsidRPr="002D6700" w:rsidRDefault="00AE752C" w:rsidP="006C7654">
                  <w:pPr>
                    <w:pStyle w:val="a8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2D6700">
                    <w:rPr>
                      <w:rFonts w:ascii="Arial Narrow" w:hAnsi="Arial Narrow" w:cs="Arial"/>
                      <w:sz w:val="18"/>
                      <w:szCs w:val="18"/>
                    </w:rPr>
                    <w:t>Тел: (495) 971-5681,  Факс: (495) 988-6115</w:t>
                  </w:r>
                </w:p>
                <w:p w:rsidR="00AE752C" w:rsidRPr="002D6700" w:rsidRDefault="00AE752C" w:rsidP="006C7654">
                  <w:pPr>
                    <w:pStyle w:val="aa"/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</w:pPr>
                  <w:r w:rsidRPr="002D6700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 xml:space="preserve">E-mail: </w:t>
                  </w:r>
                  <w:hyperlink r:id="rId5" w:history="1">
                    <w:r w:rsidRPr="002D6700">
                      <w:rPr>
                        <w:rStyle w:val="ac"/>
                        <w:rFonts w:ascii="Arial Narrow" w:hAnsi="Arial Narrow"/>
                        <w:sz w:val="18"/>
                        <w:szCs w:val="18"/>
                        <w:lang w:val="en-US"/>
                      </w:rPr>
                      <w:t>info@asergroup.ru</w:t>
                    </w:r>
                  </w:hyperlink>
                </w:p>
                <w:p w:rsidR="00AE752C" w:rsidRPr="002D6700" w:rsidRDefault="00AE752C" w:rsidP="006C7654">
                  <w:pPr>
                    <w:pStyle w:val="aa"/>
                    <w:rPr>
                      <w:rFonts w:ascii="Arial Narrow" w:hAnsi="Arial Narrow" w:cs="Arial"/>
                      <w:sz w:val="18"/>
                      <w:szCs w:val="18"/>
                      <w:lang w:val="en-US" w:eastAsia="en-US"/>
                    </w:rPr>
                  </w:pPr>
                  <w:r w:rsidRPr="002D6700">
                    <w:rPr>
                      <w:rFonts w:ascii="Arial Narrow" w:hAnsi="Arial Narrow" w:cs="Arial"/>
                      <w:sz w:val="18"/>
                      <w:szCs w:val="18"/>
                      <w:lang w:val="en-US"/>
                    </w:rPr>
                    <w:t xml:space="preserve">Web site: </w:t>
                  </w:r>
                  <w:hyperlink r:id="rId6" w:history="1">
                    <w:r w:rsidRPr="002D6700">
                      <w:rPr>
                        <w:rStyle w:val="ac"/>
                        <w:rFonts w:ascii="Arial Narrow" w:hAnsi="Arial Narrow"/>
                        <w:sz w:val="18"/>
                        <w:szCs w:val="18"/>
                        <w:lang w:val="en-US"/>
                      </w:rPr>
                      <w:t>www.asergroup.ru</w:t>
                    </w:r>
                  </w:hyperlink>
                </w:p>
              </w:tc>
            </w:tr>
          </w:tbl>
          <w:p w:rsidR="00AE752C" w:rsidRPr="002D6700" w:rsidRDefault="00AE752C" w:rsidP="006C7654">
            <w:pPr>
              <w:pStyle w:val="aa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222" w:type="dxa"/>
            <w:vAlign w:val="center"/>
          </w:tcPr>
          <w:p w:rsidR="00AE752C" w:rsidRPr="002D6700" w:rsidRDefault="00AE752C" w:rsidP="006C7654">
            <w:pPr>
              <w:pStyle w:val="aa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AE752C" w:rsidRPr="008F2257" w:rsidTr="006C7654">
        <w:trPr>
          <w:trHeight w:val="33"/>
        </w:trPr>
        <w:tc>
          <w:tcPr>
            <w:tcW w:w="10457" w:type="dxa"/>
            <w:gridSpan w:val="2"/>
            <w:vAlign w:val="center"/>
          </w:tcPr>
          <w:p w:rsidR="00AE752C" w:rsidRPr="002D6700" w:rsidRDefault="00AE752C" w:rsidP="006C7654">
            <w:pPr>
              <w:pStyle w:val="a8"/>
              <w:tabs>
                <w:tab w:val="right" w:pos="9674"/>
              </w:tabs>
              <w:rPr>
                <w:rFonts w:ascii="Arial Narrow" w:hAnsi="Arial Narrow" w:cs="Arial"/>
                <w:sz w:val="18"/>
                <w:szCs w:val="18"/>
                <w:lang w:val="en-AU" w:eastAsia="en-US"/>
              </w:rPr>
            </w:pPr>
          </w:p>
        </w:tc>
      </w:tr>
    </w:tbl>
    <w:p w:rsidR="00AE752C" w:rsidRPr="002D6700" w:rsidRDefault="00AE752C" w:rsidP="00AE752C">
      <w:pPr>
        <w:spacing w:before="60" w:after="60" w:line="240" w:lineRule="auto"/>
        <w:rPr>
          <w:rFonts w:ascii="Arial" w:eastAsia="Times New Roman" w:hAnsi="Arial" w:cs="Arial"/>
          <w:b/>
          <w:color w:val="003399"/>
          <w:sz w:val="2"/>
          <w:szCs w:val="2"/>
        </w:rPr>
      </w:pPr>
      <w:r w:rsidRPr="00D756E2">
        <w:rPr>
          <w:rFonts w:ascii="Arial Narrow" w:eastAsia="Times New Roman" w:hAnsi="Arial Narrow" w:cs="Arial"/>
          <w:noProof/>
          <w:sz w:val="18"/>
          <w:szCs w:val="18"/>
          <w:lang w:eastAsia="ru-RU"/>
        </w:rPr>
      </w:r>
      <w:r w:rsidRPr="00D756E2">
        <w:rPr>
          <w:rFonts w:ascii="Arial Narrow" w:eastAsia="Times New Roman" w:hAnsi="Arial Narrow" w:cs="Arial"/>
          <w:noProof/>
          <w:sz w:val="18"/>
          <w:szCs w:val="18"/>
          <w:lang w:eastAsia="ru-RU"/>
        </w:rPr>
        <w:pict>
          <v:line id="Прямая соединительная линия 2" o:spid="_x0000_s1026" style="flip:y;visibility:visible;mso-position-horizontal-relative:char;mso-position-vertical-relative:line" from="0,0" to="478.65pt,.05pt" strokecolor="#036" strokeweight="4.5pt">
            <v:stroke linestyle="thinThick"/>
            <w10:anchorlock/>
          </v:line>
        </w:pict>
      </w:r>
    </w:p>
    <w:p w:rsidR="00AE752C" w:rsidRPr="002D6700" w:rsidRDefault="00AE752C" w:rsidP="00AE752C">
      <w:pPr>
        <w:spacing w:before="60" w:after="60" w:line="240" w:lineRule="auto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AE752C" w:rsidRDefault="00AE752C" w:rsidP="00AE752C">
      <w:pPr>
        <w:spacing w:before="60" w:after="60" w:line="240" w:lineRule="auto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Программа Всероссийской конференции </w:t>
      </w:r>
    </w:p>
    <w:p w:rsidR="00AE752C" w:rsidRDefault="00AE752C" w:rsidP="00AE752C">
      <w:pPr>
        <w:spacing w:before="60" w:after="60" w:line="240" w:lineRule="auto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«Правовая защита бизнеса: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комплаенс-контроль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аудит в компании»</w:t>
      </w:r>
    </w:p>
    <w:p w:rsidR="00AE752C" w:rsidRDefault="00AE752C" w:rsidP="00AE752C">
      <w:pPr>
        <w:spacing w:before="60" w:after="60" w:line="240" w:lineRule="auto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AE752C" w:rsidRPr="00DA69E9" w:rsidRDefault="00AE752C" w:rsidP="00AE752C">
      <w:pPr>
        <w:spacing w:before="60" w:after="60" w:line="240" w:lineRule="auto"/>
        <w:ind w:hanging="567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>Отель «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Арарат Парк </w:t>
      </w:r>
      <w:proofErr w:type="spellStart"/>
      <w:r>
        <w:rPr>
          <w:rFonts w:ascii="Arial" w:eastAsia="Times New Roman" w:hAnsi="Arial" w:cs="Arial"/>
          <w:b/>
          <w:color w:val="000000"/>
          <w:sz w:val="18"/>
          <w:szCs w:val="18"/>
        </w:rPr>
        <w:t>Хаятт</w:t>
      </w:r>
      <w:proofErr w:type="spellEnd"/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>»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, Москва</w:t>
      </w:r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  <w:t>20 сентября</w:t>
      </w:r>
      <w:r w:rsidRPr="00DA69E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2D6700">
        <w:rPr>
          <w:rFonts w:ascii="Arial" w:eastAsia="Times New Roman" w:hAnsi="Arial" w:cs="Arial"/>
          <w:b/>
          <w:color w:val="000000"/>
          <w:sz w:val="18"/>
          <w:szCs w:val="18"/>
        </w:rPr>
        <w:t>2017г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8788"/>
      </w:tblGrid>
      <w:tr w:rsidR="00AE752C" w:rsidRPr="008F2257" w:rsidTr="006C7654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 xml:space="preserve">09.00 – </w:t>
            </w:r>
            <w:r w:rsidRPr="008F2257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8F225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Регистрация участников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10.00 – 11.15</w:t>
            </w:r>
          </w:p>
        </w:tc>
        <w:tc>
          <w:tcPr>
            <w:tcW w:w="8788" w:type="dxa"/>
          </w:tcPr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Система государственного надзора. Переход на </w:t>
            </w:r>
            <w:proofErr w:type="spellStart"/>
            <w:proofErr w:type="gramStart"/>
            <w:r w:rsidRPr="00C94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риск-ориентированную</w:t>
            </w:r>
            <w:proofErr w:type="spellEnd"/>
            <w:proofErr w:type="gramEnd"/>
            <w:r w:rsidRPr="00C94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систему контроля и ее влияние на </w:t>
            </w:r>
            <w:proofErr w:type="spellStart"/>
            <w:r w:rsidRPr="00C94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комплаенс</w:t>
            </w:r>
            <w:proofErr w:type="spellEnd"/>
            <w:r w:rsidRPr="00C94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 Установление требований к системам </w:t>
            </w:r>
            <w:proofErr w:type="spellStart"/>
            <w:r w:rsidRPr="00C94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комплаенс-менеджмента</w:t>
            </w:r>
            <w:proofErr w:type="spellEnd"/>
            <w:r w:rsidRPr="00C946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 Меры государственной поддержки бизнеса. 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Нормативно-правовое регулирование в 2017г. Взаимодействие с органами государственной и муниципальной власти с целью получения государственной поддержки. Меры ответственности и меры государственной поддержки. Действующие инструменты экономического развития регионального и федерального уровня. Суть создания системы контроля. Оценка возможного регуляторного административного воздействия. Поддержка развития кадрового потенциала. Продвижение российских компаний на внешних рынках. Информационно-консультационная поддержка.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Система оценки рисков. Как выстроить систему контроля, чтобы обеспечить максимальную защиту бизнеса без ущерба его эффективности. Инструменты, позволяющие повысить надёжность результатов работы системы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комплаенс-менеджмента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Учет рисков. Способы сокращения затрат.</w:t>
            </w:r>
          </w:p>
          <w:p w:rsidR="00AE752C" w:rsidRPr="008F2257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Балакин В.В.</w:t>
            </w:r>
            <w:r w:rsidRPr="008F2257"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Pr="008F2257">
              <w:rPr>
                <w:rFonts w:ascii="Arial" w:hAnsi="Arial" w:cs="Arial"/>
                <w:i/>
                <w:sz w:val="18"/>
                <w:szCs w:val="18"/>
              </w:rPr>
              <w:t>– 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Президент Национальной Ассоциации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Комплаенс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11.15 – 11.30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C" w:rsidRPr="008F2257" w:rsidRDefault="00AE752C" w:rsidP="006C7654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F2257">
              <w:rPr>
                <w:rFonts w:ascii="Arial" w:hAnsi="Arial" w:cs="Arial"/>
                <w:bCs/>
                <w:sz w:val="18"/>
                <w:szCs w:val="18"/>
              </w:rPr>
              <w:t>Дискуссия, ответы на вопросы.</w:t>
            </w:r>
          </w:p>
        </w:tc>
      </w:tr>
      <w:tr w:rsidR="00AE752C" w:rsidRPr="008F2257" w:rsidTr="006C7654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11.30 – 11.40</w:t>
            </w:r>
          </w:p>
        </w:tc>
        <w:tc>
          <w:tcPr>
            <w:tcW w:w="8788" w:type="dxa"/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11.40 – 13.05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Построение </w:t>
            </w:r>
            <w:proofErr w:type="spellStart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комплаенс-системы</w:t>
            </w:r>
            <w:proofErr w:type="spellEnd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и управление </w:t>
            </w:r>
            <w:proofErr w:type="spellStart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комплаенс-рисками</w:t>
            </w:r>
            <w:proofErr w:type="spellEnd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комплексный подход к построению системы. Опыт создания </w:t>
            </w:r>
            <w:proofErr w:type="spellStart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комплаенс-подразделений</w:t>
            </w:r>
            <w:proofErr w:type="spellEnd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компаниях.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Построение системы внутреннего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комплаенса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компании как основы для создания эффективной системы внутреннего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риск-менеджмента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механизм управления коррупционными рисками. 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Система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фактор, повышающий уровень инвестиционной привлекательности и надежности организации. Выбор наиболее подходящих инструментов экономического развития для конкретных организаций.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Риски и их очевидность для компании. Практика предотвращения внутрикорпоративных конфликтов. Аудит системы внутреннего контроля: оценка применяемых методов управления и </w:t>
            </w:r>
            <w:proofErr w:type="gram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деятельностью организации. Формирование ключевых рекомендаций по программе совершенствования системы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</w:p>
          <w:p w:rsidR="00AE752C" w:rsidRPr="008F2257" w:rsidRDefault="00AE752C" w:rsidP="006C7654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Делопроизводство как основа для обеспечения внутренней безопасности. Построение комплексной системы делопроизводства с учетом современного вызова: корпоративные потребности,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комплаенс-процедуры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отслеживание договорной базы. Перечень и содержание документов, необходимых для практического внедрения системы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комплаенс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Электронный доступ. 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Разбор вопросов: насколько система внутреннего контроля готова к реализации заявленных стандартов ведения бизнеса; как не упустить ошибку; как выстроить систему оповещения; как сделать слаженную работу системы; контроль качества работы;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мотивированность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персонала;  как управлять рисками и планировать убытки от возможных рисков; коррупционная составляющая рисков.</w:t>
            </w:r>
          </w:p>
          <w:p w:rsidR="00AE752C" w:rsidRDefault="00AE752C" w:rsidP="006C76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8F2257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Мартынова Л.С.</w:t>
            </w:r>
            <w:r w:rsidRPr="008F2257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– </w:t>
            </w:r>
            <w:r w:rsidRPr="008F2257">
              <w:rPr>
                <w:rFonts w:ascii="Arial" w:hAnsi="Arial" w:cs="Arial"/>
                <w:i/>
                <w:sz w:val="18"/>
                <w:szCs w:val="18"/>
              </w:rPr>
              <w:t xml:space="preserve">старший менеджер отдела управления рисками KPMG (лидер по предоставлению аудиторских услуг в России и одна из крупнейших </w:t>
            </w:r>
            <w:proofErr w:type="spellStart"/>
            <w:r w:rsidRPr="008F2257">
              <w:rPr>
                <w:rFonts w:ascii="Arial" w:hAnsi="Arial" w:cs="Arial"/>
                <w:i/>
                <w:sz w:val="18"/>
                <w:szCs w:val="18"/>
              </w:rPr>
              <w:t>аудиторско-консалтинговых</w:t>
            </w:r>
            <w:proofErr w:type="spellEnd"/>
            <w:r w:rsidRPr="008F2257">
              <w:rPr>
                <w:rFonts w:ascii="Arial" w:hAnsi="Arial" w:cs="Arial"/>
                <w:i/>
                <w:sz w:val="18"/>
                <w:szCs w:val="18"/>
              </w:rPr>
              <w:t xml:space="preserve"> фирм)</w:t>
            </w:r>
            <w:r w:rsidRPr="008F2257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</w:t>
            </w:r>
          </w:p>
          <w:p w:rsidR="00AE752C" w:rsidRPr="008F2257" w:rsidRDefault="00AE752C" w:rsidP="006C76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Лебедев И.А</w:t>
            </w:r>
            <w:r w:rsidRPr="008F2257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.</w:t>
            </w:r>
            <w:r w:rsidRPr="008F2257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– </w:t>
            </w:r>
            <w:r>
              <w:rPr>
                <w:rFonts w:ascii="Arial" w:hAnsi="Arial" w:cs="Arial"/>
                <w:i/>
                <w:sz w:val="18"/>
                <w:szCs w:val="18"/>
              </w:rPr>
              <w:t>партнер</w:t>
            </w:r>
            <w:r w:rsidRPr="008F2257">
              <w:rPr>
                <w:rFonts w:ascii="Arial" w:hAnsi="Arial" w:cs="Arial"/>
                <w:i/>
                <w:sz w:val="18"/>
                <w:szCs w:val="18"/>
              </w:rPr>
              <w:t xml:space="preserve"> KPMG (лидер по предоставлению аудиторских услуг в России и одна из крупнейших </w:t>
            </w:r>
            <w:proofErr w:type="spellStart"/>
            <w:r w:rsidRPr="008F2257">
              <w:rPr>
                <w:rFonts w:ascii="Arial" w:hAnsi="Arial" w:cs="Arial"/>
                <w:i/>
                <w:sz w:val="18"/>
                <w:szCs w:val="18"/>
              </w:rPr>
              <w:t>аудиторско-консалтинговых</w:t>
            </w:r>
            <w:proofErr w:type="spellEnd"/>
            <w:r w:rsidRPr="008F2257">
              <w:rPr>
                <w:rFonts w:ascii="Arial" w:hAnsi="Arial" w:cs="Arial"/>
                <w:i/>
                <w:sz w:val="18"/>
                <w:szCs w:val="18"/>
              </w:rPr>
              <w:t xml:space="preserve"> фирм)</w:t>
            </w:r>
            <w:r w:rsidRPr="008F2257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13.05 – 13.20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C" w:rsidRPr="008F2257" w:rsidRDefault="00AE752C" w:rsidP="006C7654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F2257">
              <w:rPr>
                <w:rFonts w:ascii="Arial" w:hAnsi="Arial" w:cs="Arial"/>
                <w:bCs/>
                <w:sz w:val="18"/>
                <w:szCs w:val="18"/>
              </w:rPr>
              <w:t>Дискуссия, ответы на вопросы.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lastRenderedPageBreak/>
              <w:t>13.20 – 14.05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C" w:rsidRPr="00C94635" w:rsidRDefault="00AE752C" w:rsidP="006C76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Внедрение инструментов автоматизации </w:t>
            </w:r>
            <w:proofErr w:type="spellStart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комплаенс</w:t>
            </w:r>
            <w:proofErr w:type="spellEnd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процедур. Программные продукты и информационные системы составления и обработки документов. </w:t>
            </w:r>
          </w:p>
          <w:p w:rsidR="00AE752C" w:rsidRPr="00C94635" w:rsidRDefault="00AE752C" w:rsidP="006C76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Программные продукты, которые могут быть использованы для реализации систем электронного документооборота. Программные продукты для анализа рисков.</w:t>
            </w:r>
          </w:p>
          <w:p w:rsidR="00AE752C" w:rsidRDefault="00AE752C" w:rsidP="006C76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Способы контроля, конструкторы документов (конструктор документов </w:t>
            </w:r>
            <w:proofErr w:type="spell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FreshDoc</w:t>
            </w:r>
            <w:proofErr w:type="spell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пр.), смысловая обработка. «Электронный страж», электронные подписи, ключи. Интеграция с государственными системами (ЕГРЮЛ/ЕГРИП и пр.): практические вопросы и глобальное построение системы.</w:t>
            </w:r>
          </w:p>
          <w:p w:rsidR="00AE752C" w:rsidRDefault="00AE752C" w:rsidP="006C765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5AC9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Современный взгля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д на автоматизацию служб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комплае</w:t>
            </w:r>
            <w:r w:rsidRPr="00375AC9">
              <w:rPr>
                <w:rFonts w:ascii="Arial" w:hAnsi="Arial" w:cs="Arial"/>
                <w:b/>
                <w:color w:val="000000"/>
                <w:sz w:val="18"/>
                <w:szCs w:val="18"/>
              </w:rPr>
              <w:t>нс</w:t>
            </w:r>
            <w:proofErr w:type="spellEnd"/>
            <w:r w:rsidRPr="00375AC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контроля, внутреннего аудита и управления рисками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AE752C" w:rsidRPr="00375AC9" w:rsidRDefault="00AE752C" w:rsidP="006C76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Балабанова И.И.</w:t>
            </w:r>
            <w:r w:rsidRPr="00C9463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– </w:t>
            </w:r>
            <w:r>
              <w:rPr>
                <w:rStyle w:val="blacklink"/>
                <w:rFonts w:ascii="Arial" w:hAnsi="Arial" w:cs="Arial"/>
                <w:i/>
                <w:color w:val="000000"/>
                <w:sz w:val="18"/>
                <w:szCs w:val="18"/>
              </w:rPr>
              <w:t>д</w:t>
            </w:r>
            <w:r w:rsidRPr="00375AC9">
              <w:rPr>
                <w:rStyle w:val="blacklink"/>
                <w:rFonts w:ascii="Arial" w:hAnsi="Arial" w:cs="Arial"/>
                <w:i/>
                <w:color w:val="000000"/>
                <w:sz w:val="18"/>
                <w:szCs w:val="18"/>
              </w:rPr>
              <w:t xml:space="preserve">иректор департамента бизнес-приложений </w:t>
            </w:r>
            <w:r w:rsidRPr="00375AC9">
              <w:rPr>
                <w:rFonts w:ascii="Arial" w:hAnsi="Arial" w:cs="Arial"/>
                <w:i/>
                <w:color w:val="000000"/>
                <w:sz w:val="18"/>
                <w:szCs w:val="18"/>
              </w:rPr>
              <w:t>«</w:t>
            </w:r>
            <w:proofErr w:type="spellStart"/>
            <w:r w:rsidRPr="00375AC9">
              <w:rPr>
                <w:rFonts w:ascii="Arial" w:hAnsi="Arial" w:cs="Arial"/>
                <w:i/>
                <w:color w:val="000000"/>
                <w:sz w:val="18"/>
                <w:szCs w:val="18"/>
              </w:rPr>
              <w:t>Диджитал</w:t>
            </w:r>
            <w:proofErr w:type="spellEnd"/>
            <w:r w:rsidRPr="00375AC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Дизайн».</w:t>
            </w:r>
          </w:p>
          <w:p w:rsidR="00AE752C" w:rsidRPr="008F2257" w:rsidRDefault="00AE752C" w:rsidP="006C7654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4635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Докладчики</w:t>
            </w:r>
            <w:r w:rsidRPr="00C9463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– ведущие российские производители и поставщики систем автоматизации документооборота и делопроизводства.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14.05 – 14.20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C" w:rsidRPr="008F2257" w:rsidRDefault="00AE752C" w:rsidP="006C7654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F2257">
              <w:rPr>
                <w:rFonts w:ascii="Arial" w:hAnsi="Arial" w:cs="Arial"/>
                <w:bCs/>
                <w:sz w:val="18"/>
                <w:szCs w:val="18"/>
              </w:rPr>
              <w:t>Дискуссия, ответы на вопросы.</w:t>
            </w:r>
          </w:p>
        </w:tc>
      </w:tr>
      <w:tr w:rsidR="00AE752C" w:rsidRPr="008F2257" w:rsidTr="006C7654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14.20 – 15.00</w:t>
            </w:r>
          </w:p>
        </w:tc>
        <w:tc>
          <w:tcPr>
            <w:tcW w:w="8788" w:type="dxa"/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Обед</w:t>
            </w:r>
          </w:p>
        </w:tc>
      </w:tr>
      <w:tr w:rsidR="00AE752C" w:rsidRPr="008F2257" w:rsidTr="006C7654">
        <w:trPr>
          <w:trHeight w:val="699"/>
        </w:trPr>
        <w:tc>
          <w:tcPr>
            <w:tcW w:w="1418" w:type="dxa"/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15.00 – 16.15</w:t>
            </w:r>
          </w:p>
        </w:tc>
        <w:tc>
          <w:tcPr>
            <w:tcW w:w="8788" w:type="dxa"/>
          </w:tcPr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Конфликты и вопросы привлечения к ответственности за нарушения, связанные с основными объектами системы </w:t>
            </w:r>
            <w:proofErr w:type="spellStart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комплаенс-контроля</w:t>
            </w:r>
            <w:proofErr w:type="spellEnd"/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 Досудебное урегулирование споров: актуальная практика.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Претензионный порядок урегулирования спора и иной досудебный порядок урегулирования спора.  Оценка обстоятельств. Нормативно-правовая база и подтверждение правомерности позиции в споре, обеспечение доказательственной базы. Оценка перспективы досудебного разрешения спора. Выстраивание стратегии и особенности урегулирования. Взаимодействие с юристами, консультантами, адвокатами. В каких случаях лучше выбрать иностранную, а в каких отечественную фирму. Составление документов для досудебного урегулирования споров. Подготовка исковых заявлений. Подготовка правовых документов для подачи в суд.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8F225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Авакян</w:t>
            </w:r>
            <w:proofErr w:type="spellEnd"/>
            <w:r w:rsidRPr="008F225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Е.Г.</w:t>
            </w:r>
            <w:r w:rsidRPr="008F2257">
              <w:rPr>
                <w:rStyle w:val="apple-converted-space"/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8F22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– исполнительный директор Некоммерческого Партнерства «Содействие Развитию Корпоративного Законодательства», советник Адвокатского бюро «Егоров, </w:t>
            </w:r>
            <w:proofErr w:type="spellStart"/>
            <w:r w:rsidRPr="008F2257">
              <w:rPr>
                <w:rFonts w:ascii="Arial" w:hAnsi="Arial" w:cs="Arial"/>
                <w:i/>
                <w:iCs/>
                <w:sz w:val="18"/>
                <w:szCs w:val="18"/>
              </w:rPr>
              <w:t>Пугинский</w:t>
            </w:r>
            <w:proofErr w:type="spellEnd"/>
            <w:r w:rsidRPr="008F2257">
              <w:rPr>
                <w:rFonts w:ascii="Arial" w:hAnsi="Arial" w:cs="Arial"/>
                <w:i/>
                <w:iCs/>
                <w:sz w:val="18"/>
                <w:szCs w:val="18"/>
              </w:rPr>
              <w:t>, Афанасьев и партнеры», действительный государственный советник юстиции 2 класса.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16.15 – 16.30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C" w:rsidRPr="008F2257" w:rsidRDefault="00AE752C" w:rsidP="006C7654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F2257">
              <w:rPr>
                <w:rFonts w:ascii="Arial" w:hAnsi="Arial" w:cs="Arial"/>
                <w:bCs/>
                <w:sz w:val="18"/>
                <w:szCs w:val="18"/>
              </w:rPr>
              <w:t>Дискуссия, ответы на вопросы.</w:t>
            </w:r>
          </w:p>
        </w:tc>
      </w:tr>
      <w:tr w:rsidR="00AE752C" w:rsidRPr="008F2257" w:rsidTr="006C7654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16.30 – 16.40</w:t>
            </w:r>
          </w:p>
        </w:tc>
        <w:tc>
          <w:tcPr>
            <w:tcW w:w="8788" w:type="dxa"/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AE752C" w:rsidRPr="008F2257" w:rsidTr="006C7654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16.40 – 17.25</w:t>
            </w:r>
          </w:p>
        </w:tc>
        <w:tc>
          <w:tcPr>
            <w:tcW w:w="8788" w:type="dxa"/>
            <w:shd w:val="clear" w:color="auto" w:fill="auto"/>
          </w:tcPr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F225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Судебная практика: п</w:t>
            </w:r>
            <w:r w:rsidRPr="00C94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редставление интересов в суде.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интересов в суде. Практические рекомендации: что учесть, как подготовиться, как оформить документы. Выстраивание судебной стратегии.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Оптимизация деятельности юридических служб для достижения максимального эффекта. Эффективные системы, позволяющие управлять процессами, отслеживать работу юристов. </w:t>
            </w:r>
            <w:proofErr w:type="gramStart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C94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подачей документов, как предотвратить мошенничество в этой сфере. Система электронного правосудия. </w:t>
            </w:r>
          </w:p>
          <w:p w:rsidR="00AE752C" w:rsidRPr="00C94635" w:rsidRDefault="00AE752C" w:rsidP="006C7654">
            <w:pPr>
              <w:shd w:val="clear" w:color="auto" w:fill="FFFFFF"/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8F225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Авакян</w:t>
            </w:r>
            <w:proofErr w:type="spellEnd"/>
            <w:r w:rsidRPr="008F225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Е.Г.</w:t>
            </w:r>
            <w:r w:rsidRPr="008F2257">
              <w:rPr>
                <w:rStyle w:val="apple-converted-space"/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8F22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– исполнительный директор Некоммерческого Партнерства «Содействие Развитию Корпоративного Законодательства», советник Адвокатского бюро «Егоров, </w:t>
            </w:r>
            <w:proofErr w:type="spellStart"/>
            <w:r w:rsidRPr="008F2257">
              <w:rPr>
                <w:rFonts w:ascii="Arial" w:hAnsi="Arial" w:cs="Arial"/>
                <w:i/>
                <w:iCs/>
                <w:sz w:val="18"/>
                <w:szCs w:val="18"/>
              </w:rPr>
              <w:t>Пугинский</w:t>
            </w:r>
            <w:proofErr w:type="spellEnd"/>
            <w:r w:rsidRPr="008F2257">
              <w:rPr>
                <w:rFonts w:ascii="Arial" w:hAnsi="Arial" w:cs="Arial"/>
                <w:i/>
                <w:iCs/>
                <w:sz w:val="18"/>
                <w:szCs w:val="18"/>
              </w:rPr>
              <w:t>, Афанасьев и партнеры», действительный государственный советник юстиции 2 класса.</w:t>
            </w:r>
          </w:p>
        </w:tc>
      </w:tr>
      <w:tr w:rsidR="00AE752C" w:rsidRPr="008F2257" w:rsidTr="006C7654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52C" w:rsidRPr="008F2257" w:rsidRDefault="00AE752C" w:rsidP="006C7654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257">
              <w:rPr>
                <w:rFonts w:ascii="Arial" w:hAnsi="Arial" w:cs="Arial"/>
                <w:sz w:val="18"/>
                <w:szCs w:val="18"/>
              </w:rPr>
              <w:t>17.25 – 17.40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C" w:rsidRPr="008F2257" w:rsidRDefault="00AE752C" w:rsidP="006C7654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F2257">
              <w:rPr>
                <w:rFonts w:ascii="Arial" w:hAnsi="Arial" w:cs="Arial"/>
                <w:bCs/>
                <w:sz w:val="18"/>
                <w:szCs w:val="18"/>
              </w:rPr>
              <w:t>Дискуссия, ответы на вопросы.</w:t>
            </w:r>
          </w:p>
        </w:tc>
      </w:tr>
    </w:tbl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  <w:r w:rsidRPr="002D6700">
        <w:rPr>
          <w:rFonts w:ascii="Arial" w:hAnsi="Arial" w:cs="Arial"/>
          <w:i/>
          <w:sz w:val="16"/>
          <w:szCs w:val="16"/>
        </w:rPr>
        <w:t>*программа может быть изменена и дополнена</w:t>
      </w: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p w:rsidR="00AE752C" w:rsidRPr="00AE752C" w:rsidRDefault="00AE752C" w:rsidP="00AE752C">
      <w:pPr>
        <w:rPr>
          <w:rFonts w:ascii="Arial" w:hAnsi="Arial" w:cs="Arial"/>
          <w:i/>
          <w:sz w:val="16"/>
          <w:szCs w:val="16"/>
        </w:rPr>
      </w:pPr>
    </w:p>
    <w:sectPr w:rsidR="00AE752C" w:rsidRPr="00AE752C" w:rsidSect="0077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52C"/>
    <w:rsid w:val="000E072F"/>
    <w:rsid w:val="00252CF3"/>
    <w:rsid w:val="007779E9"/>
    <w:rsid w:val="00AE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2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2CF3"/>
    <w:rPr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252CF3"/>
    <w:rPr>
      <w:rFonts w:eastAsia="Arial Unicode MS"/>
      <w:spacing w:val="-20"/>
      <w:sz w:val="36"/>
    </w:rPr>
  </w:style>
  <w:style w:type="character" w:styleId="a5">
    <w:name w:val="Strong"/>
    <w:basedOn w:val="a0"/>
    <w:uiPriority w:val="22"/>
    <w:qFormat/>
    <w:rsid w:val="00252CF3"/>
    <w:rPr>
      <w:b/>
      <w:bCs/>
    </w:rPr>
  </w:style>
  <w:style w:type="paragraph" w:styleId="a6">
    <w:name w:val="No Spacing"/>
    <w:uiPriority w:val="1"/>
    <w:qFormat/>
    <w:rsid w:val="00252CF3"/>
    <w:rPr>
      <w:rFonts w:eastAsia="Calibri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252C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52C"/>
  </w:style>
  <w:style w:type="paragraph" w:styleId="a8">
    <w:name w:val="footer"/>
    <w:basedOn w:val="a"/>
    <w:link w:val="a9"/>
    <w:uiPriority w:val="99"/>
    <w:rsid w:val="00AE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E752C"/>
    <w:rPr>
      <w:sz w:val="24"/>
      <w:szCs w:val="24"/>
    </w:rPr>
  </w:style>
  <w:style w:type="paragraph" w:styleId="aa">
    <w:name w:val="header"/>
    <w:basedOn w:val="a"/>
    <w:link w:val="ab"/>
    <w:rsid w:val="00AE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E752C"/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E752C"/>
    <w:rPr>
      <w:rFonts w:ascii="Arial" w:hAnsi="Arial" w:cs="Arial" w:hint="default"/>
      <w:color w:val="27536A"/>
      <w:sz w:val="24"/>
      <w:szCs w:val="24"/>
      <w:u w:val="single"/>
    </w:rPr>
  </w:style>
  <w:style w:type="character" w:customStyle="1" w:styleId="blacklink">
    <w:name w:val="black_link"/>
    <w:basedOn w:val="a0"/>
    <w:rsid w:val="00AE752C"/>
  </w:style>
  <w:style w:type="paragraph" w:styleId="ad">
    <w:name w:val="Balloon Text"/>
    <w:basedOn w:val="a"/>
    <w:link w:val="ae"/>
    <w:uiPriority w:val="99"/>
    <w:semiHidden/>
    <w:unhideWhenUsed/>
    <w:rsid w:val="00AE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752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rgroup.ru" TargetMode="External"/><Relationship Id="rId5" Type="http://schemas.openxmlformats.org/officeDocument/2006/relationships/hyperlink" Target="mailto:info@asergroup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5578</Characters>
  <Application>Microsoft Office Word</Application>
  <DocSecurity>0</DocSecurity>
  <Lines>46</Lines>
  <Paragraphs>13</Paragraphs>
  <ScaleCrop>false</ScaleCrop>
  <Company>Администрация городв Ставрополя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LA.Dotcenko</dc:creator>
  <cp:keywords/>
  <dc:description/>
  <cp:lastModifiedBy>LA.Dotcenko</cp:lastModifiedBy>
  <cp:revision>2</cp:revision>
  <dcterms:created xsi:type="dcterms:W3CDTF">2017-09-18T07:27:00Z</dcterms:created>
  <dcterms:modified xsi:type="dcterms:W3CDTF">2017-09-18T07:28:00Z</dcterms:modified>
</cp:coreProperties>
</file>